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17" w:rsidRPr="008D73A0" w:rsidRDefault="00490F1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-271145</wp:posOffset>
            </wp:positionV>
            <wp:extent cx="7576820" cy="189230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D5" w:rsidRPr="008D73A0" w:rsidRDefault="00FD15D5">
      <w:pPr>
        <w:rPr>
          <w:rFonts w:asciiTheme="minorHAnsi" w:hAnsiTheme="minorHAnsi"/>
        </w:rPr>
      </w:pPr>
    </w:p>
    <w:p w:rsidR="007B4217" w:rsidRPr="008D73A0" w:rsidRDefault="007B4217">
      <w:pPr>
        <w:rPr>
          <w:rFonts w:asciiTheme="minorHAnsi" w:hAnsiTheme="minorHAnsi"/>
        </w:rPr>
      </w:pPr>
    </w:p>
    <w:p w:rsidR="007B4217" w:rsidRPr="008D73A0" w:rsidRDefault="007B4217">
      <w:pPr>
        <w:rPr>
          <w:rFonts w:asciiTheme="minorHAnsi" w:hAnsiTheme="minorHAnsi"/>
        </w:rPr>
      </w:pPr>
    </w:p>
    <w:p w:rsidR="007B4217" w:rsidRPr="008D73A0" w:rsidRDefault="007B4217">
      <w:pPr>
        <w:rPr>
          <w:rFonts w:asciiTheme="minorHAnsi" w:hAnsiTheme="minorHAnsi"/>
        </w:rPr>
      </w:pPr>
    </w:p>
    <w:p w:rsidR="007B4217" w:rsidRPr="008D73A0" w:rsidRDefault="007B4217">
      <w:pPr>
        <w:rPr>
          <w:rFonts w:asciiTheme="minorHAnsi" w:hAnsiTheme="minorHAnsi"/>
        </w:rPr>
      </w:pPr>
    </w:p>
    <w:p w:rsidR="00AA0656" w:rsidRPr="008D73A0" w:rsidRDefault="00AA0656" w:rsidP="00AA0656">
      <w:pPr>
        <w:jc w:val="both"/>
        <w:rPr>
          <w:rFonts w:asciiTheme="minorHAnsi" w:hAnsiTheme="minorHAnsi"/>
          <w:sz w:val="28"/>
          <w:szCs w:val="28"/>
        </w:rPr>
      </w:pPr>
    </w:p>
    <w:p w:rsidR="00490F11" w:rsidRDefault="00490F11" w:rsidP="007B4513">
      <w:pPr>
        <w:pStyle w:val="30"/>
        <w:jc w:val="center"/>
        <w:rPr>
          <w:rFonts w:asciiTheme="minorHAnsi" w:hAnsiTheme="minorHAnsi"/>
          <w:b/>
          <w:sz w:val="28"/>
          <w:szCs w:val="28"/>
        </w:rPr>
      </w:pPr>
    </w:p>
    <w:p w:rsidR="00490F11" w:rsidRDefault="00490F11" w:rsidP="007B4513">
      <w:pPr>
        <w:pStyle w:val="30"/>
        <w:jc w:val="center"/>
        <w:rPr>
          <w:rFonts w:asciiTheme="minorHAnsi" w:hAnsiTheme="minorHAnsi"/>
          <w:b/>
          <w:sz w:val="28"/>
          <w:szCs w:val="28"/>
        </w:rPr>
      </w:pPr>
    </w:p>
    <w:p w:rsidR="00490F11" w:rsidRDefault="00490F11" w:rsidP="007B4513">
      <w:pPr>
        <w:pStyle w:val="3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ГОЗНАК ПРЕЗЕНТОВАЛ НАУЧНОЕ ИЗДАНИЕ</w:t>
      </w:r>
      <w:r w:rsidRPr="00490F11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>ПОСВЯЩЕННОЕ 200-ЛЕТНЕЙ ИСТОРИИ ПРЕДПРИЯТИЯ И НАЛИЧНОГО ДЕНЕЖНОГО ОБРАЩЕНИЯ РОССИИ</w:t>
      </w:r>
      <w:r w:rsidR="00096C1B" w:rsidRPr="008D73A0">
        <w:rPr>
          <w:rFonts w:asciiTheme="minorHAnsi" w:hAnsiTheme="minorHAnsi"/>
          <w:b/>
          <w:sz w:val="28"/>
          <w:szCs w:val="28"/>
        </w:rPr>
        <w:t xml:space="preserve"> </w:t>
      </w:r>
    </w:p>
    <w:p w:rsidR="00096C1B" w:rsidRPr="008D73A0" w:rsidRDefault="00096C1B" w:rsidP="00096C1B">
      <w:pPr>
        <w:pStyle w:val="30"/>
        <w:ind w:left="0"/>
        <w:jc w:val="both"/>
        <w:rPr>
          <w:rFonts w:asciiTheme="minorHAnsi" w:hAnsiTheme="minorHAnsi"/>
          <w:b/>
          <w:i/>
          <w:sz w:val="24"/>
          <w:szCs w:val="24"/>
        </w:rPr>
      </w:pPr>
      <w:r w:rsidRPr="008D73A0">
        <w:rPr>
          <w:rFonts w:asciiTheme="minorHAnsi" w:hAnsiTheme="minorHAnsi"/>
          <w:b/>
          <w:i/>
          <w:sz w:val="24"/>
          <w:szCs w:val="24"/>
        </w:rPr>
        <w:t xml:space="preserve">10 декабря </w:t>
      </w:r>
      <w:r w:rsidR="00490F11">
        <w:rPr>
          <w:rFonts w:asciiTheme="minorHAnsi" w:hAnsiTheme="minorHAnsi"/>
          <w:b/>
          <w:i/>
          <w:sz w:val="24"/>
          <w:szCs w:val="24"/>
        </w:rPr>
        <w:t xml:space="preserve">2020 года прошла презентация </w:t>
      </w:r>
      <w:r w:rsidRPr="008D73A0">
        <w:rPr>
          <w:rFonts w:asciiTheme="minorHAnsi" w:hAnsiTheme="minorHAnsi"/>
          <w:b/>
          <w:i/>
          <w:sz w:val="24"/>
          <w:szCs w:val="24"/>
        </w:rPr>
        <w:t>научного труда «Гознак. Истор</w:t>
      </w:r>
      <w:r w:rsidR="00162DA0">
        <w:rPr>
          <w:rFonts w:asciiTheme="minorHAnsi" w:hAnsiTheme="minorHAnsi"/>
          <w:b/>
          <w:i/>
          <w:sz w:val="24"/>
          <w:szCs w:val="24"/>
        </w:rPr>
        <w:t>ия в событиях, датах, судьбах».</w:t>
      </w:r>
      <w:r w:rsidRPr="008D73A0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162DA0">
        <w:rPr>
          <w:rFonts w:asciiTheme="minorHAnsi" w:hAnsiTheme="minorHAnsi"/>
          <w:b/>
          <w:i/>
          <w:sz w:val="24"/>
          <w:szCs w:val="24"/>
        </w:rPr>
        <w:t>Издание</w:t>
      </w:r>
      <w:r w:rsidR="00AB4538">
        <w:rPr>
          <w:rFonts w:asciiTheme="minorHAnsi" w:hAnsiTheme="minorHAnsi"/>
          <w:b/>
          <w:i/>
          <w:sz w:val="24"/>
          <w:szCs w:val="24"/>
        </w:rPr>
        <w:t xml:space="preserve"> посвящено событиям</w:t>
      </w:r>
      <w:r w:rsidR="00AB4538" w:rsidRPr="007712DD">
        <w:rPr>
          <w:rFonts w:asciiTheme="minorHAnsi" w:hAnsiTheme="minorHAnsi"/>
          <w:b/>
          <w:i/>
          <w:sz w:val="24"/>
          <w:szCs w:val="24"/>
        </w:rPr>
        <w:t xml:space="preserve">, которые </w:t>
      </w:r>
      <w:r w:rsidR="00AB4538">
        <w:rPr>
          <w:rFonts w:asciiTheme="minorHAnsi" w:hAnsiTheme="minorHAnsi"/>
          <w:b/>
          <w:i/>
          <w:sz w:val="24"/>
          <w:szCs w:val="24"/>
        </w:rPr>
        <w:t xml:space="preserve">на протяжении двух последних веков </w:t>
      </w:r>
      <w:r w:rsidR="00AB4538" w:rsidRPr="007712DD">
        <w:rPr>
          <w:rFonts w:asciiTheme="minorHAnsi" w:hAnsiTheme="minorHAnsi"/>
          <w:b/>
          <w:i/>
          <w:sz w:val="24"/>
          <w:szCs w:val="24"/>
        </w:rPr>
        <w:t>пр</w:t>
      </w:r>
      <w:r w:rsidR="00972A83">
        <w:rPr>
          <w:rFonts w:asciiTheme="minorHAnsi" w:hAnsiTheme="minorHAnsi"/>
          <w:b/>
          <w:i/>
          <w:sz w:val="24"/>
          <w:szCs w:val="24"/>
        </w:rPr>
        <w:t>о</w:t>
      </w:r>
      <w:r w:rsidR="00AB4538" w:rsidRPr="007712DD">
        <w:rPr>
          <w:rFonts w:asciiTheme="minorHAnsi" w:hAnsiTheme="minorHAnsi"/>
          <w:b/>
          <w:i/>
          <w:sz w:val="24"/>
          <w:szCs w:val="24"/>
        </w:rPr>
        <w:t>исходили</w:t>
      </w:r>
      <w:r w:rsidR="00AB4538">
        <w:rPr>
          <w:rFonts w:asciiTheme="minorHAnsi" w:hAnsiTheme="minorHAnsi"/>
          <w:b/>
          <w:i/>
          <w:sz w:val="24"/>
          <w:szCs w:val="24"/>
        </w:rPr>
        <w:t xml:space="preserve"> в жизни и работе предприятия</w:t>
      </w:r>
      <w:r w:rsidR="00AB4538" w:rsidRPr="00AB4538">
        <w:rPr>
          <w:rFonts w:asciiTheme="minorHAnsi" w:hAnsiTheme="minorHAnsi"/>
          <w:b/>
          <w:i/>
          <w:sz w:val="24"/>
          <w:szCs w:val="24"/>
        </w:rPr>
        <w:t xml:space="preserve">, </w:t>
      </w:r>
      <w:r w:rsidR="00AB4538">
        <w:rPr>
          <w:rFonts w:asciiTheme="minorHAnsi" w:hAnsiTheme="minorHAnsi"/>
          <w:b/>
          <w:i/>
          <w:sz w:val="24"/>
          <w:szCs w:val="24"/>
        </w:rPr>
        <w:t>а также связанным с ним событиям в жизни российского государства и экономики нашей страны</w:t>
      </w:r>
      <w:r w:rsidRPr="008D73A0">
        <w:rPr>
          <w:rFonts w:asciiTheme="minorHAnsi" w:hAnsiTheme="minorHAnsi"/>
          <w:b/>
          <w:i/>
          <w:sz w:val="24"/>
          <w:szCs w:val="24"/>
        </w:rPr>
        <w:t xml:space="preserve">. </w:t>
      </w:r>
    </w:p>
    <w:p w:rsidR="0015097A" w:rsidRPr="006C6FAA" w:rsidRDefault="009644BD" w:rsidP="00682977">
      <w:pPr>
        <w:spacing w:before="240"/>
        <w:jc w:val="both"/>
        <w:rPr>
          <w:rFonts w:asciiTheme="minorHAnsi" w:hAnsiTheme="minorHAnsi"/>
        </w:rPr>
      </w:pPr>
      <w:r w:rsidRPr="006C6FAA">
        <w:rPr>
          <w:rFonts w:asciiTheme="minorHAnsi" w:hAnsiTheme="minorHAnsi"/>
        </w:rPr>
        <w:t>П</w:t>
      </w:r>
      <w:r w:rsidR="00AB4538" w:rsidRPr="006C6FAA">
        <w:rPr>
          <w:rFonts w:asciiTheme="minorHAnsi" w:hAnsiTheme="minorHAnsi"/>
        </w:rPr>
        <w:t>резентаци</w:t>
      </w:r>
      <w:r w:rsidRPr="006C6FAA">
        <w:rPr>
          <w:rFonts w:asciiTheme="minorHAnsi" w:hAnsiTheme="minorHAnsi"/>
        </w:rPr>
        <w:t>я</w:t>
      </w:r>
      <w:r w:rsidR="00AB4538" w:rsidRPr="006C6FAA">
        <w:rPr>
          <w:rFonts w:asciiTheme="minorHAnsi" w:hAnsiTheme="minorHAnsi"/>
        </w:rPr>
        <w:t xml:space="preserve"> проходила в выставочном </w:t>
      </w:r>
      <w:r w:rsidR="00AB4538" w:rsidRPr="00F81C55">
        <w:rPr>
          <w:rFonts w:asciiTheme="minorHAnsi" w:hAnsiTheme="minorHAnsi"/>
        </w:rPr>
        <w:t xml:space="preserve">зале фонда хранения АО «Гознак» в Москве. В мероприятии принимали участие </w:t>
      </w:r>
      <w:r w:rsidRPr="00F81C55">
        <w:rPr>
          <w:rFonts w:asciiTheme="minorHAnsi" w:hAnsiTheme="minorHAnsi"/>
        </w:rPr>
        <w:t>заместитель Министра финансов Российской Федерации, председатель совета директоров АО «Гознак» Алексей Моисеев, авторы</w:t>
      </w:r>
      <w:r w:rsidRPr="006C6FAA">
        <w:rPr>
          <w:rFonts w:asciiTheme="minorHAnsi" w:hAnsiTheme="minorHAnsi"/>
        </w:rPr>
        <w:t xml:space="preserve"> издания – генеральный директор АО «Гознак» Аркадий Трачук и советник генерального директора АО «Гознак» Наталья Никифорова, </w:t>
      </w:r>
      <w:r w:rsidR="0015097A" w:rsidRPr="006C6FAA">
        <w:rPr>
          <w:rFonts w:asciiTheme="minorHAnsi" w:hAnsiTheme="minorHAnsi"/>
        </w:rPr>
        <w:t xml:space="preserve">ветераны АО «Гознак», лица, принимавшие деятельное участие в подготовке материалов издания, а также представители нумизматического и бонистического сообществ России. </w:t>
      </w:r>
    </w:p>
    <w:p w:rsidR="003A1333" w:rsidRPr="00F81C55" w:rsidRDefault="00096C1B" w:rsidP="00682977">
      <w:pPr>
        <w:spacing w:before="240"/>
        <w:jc w:val="both"/>
        <w:rPr>
          <w:sz w:val="28"/>
          <w:szCs w:val="28"/>
        </w:rPr>
      </w:pPr>
      <w:r w:rsidRPr="006C6FAA">
        <w:rPr>
          <w:rFonts w:asciiTheme="minorHAnsi" w:hAnsiTheme="minorHAnsi"/>
        </w:rPr>
        <w:t xml:space="preserve">Впервые за долгие годы общественному вниманию </w:t>
      </w:r>
      <w:r w:rsidR="0015097A" w:rsidRPr="006C6FAA">
        <w:rPr>
          <w:rFonts w:asciiTheme="minorHAnsi" w:hAnsiTheme="minorHAnsi"/>
        </w:rPr>
        <w:t>представлен</w:t>
      </w:r>
      <w:r w:rsidRPr="006C6FAA">
        <w:rPr>
          <w:rFonts w:asciiTheme="minorHAnsi" w:hAnsiTheme="minorHAnsi"/>
        </w:rPr>
        <w:t xml:space="preserve"> </w:t>
      </w:r>
      <w:r w:rsidRPr="00682977">
        <w:rPr>
          <w:rFonts w:asciiTheme="minorHAnsi" w:hAnsiTheme="minorHAnsi"/>
        </w:rPr>
        <w:t>исторически достоверный научный труд, который к в хронологическом порядке излагает историю</w:t>
      </w:r>
      <w:r w:rsidRPr="006C6FAA">
        <w:rPr>
          <w:rFonts w:asciiTheme="minorHAnsi" w:hAnsiTheme="minorHAnsi"/>
        </w:rPr>
        <w:t xml:space="preserve"> одного из старейших российских предприятий, чья деятельность тесно переплетена с историей нашей страны. Издание подготовлено в чрезвычайно широком историческом и экономическом контексте. Причем как в российском, так и в мировом.</w:t>
      </w:r>
      <w:r w:rsidR="003A1333">
        <w:rPr>
          <w:rFonts w:asciiTheme="minorHAnsi" w:hAnsiTheme="minorHAnsi"/>
        </w:rPr>
        <w:t xml:space="preserve"> По </w:t>
      </w:r>
      <w:r w:rsidR="003A1333" w:rsidRPr="005C4131">
        <w:rPr>
          <w:rFonts w:asciiTheme="minorHAnsi" w:hAnsiTheme="minorHAnsi"/>
        </w:rPr>
        <w:t xml:space="preserve">мнению </w:t>
      </w:r>
      <w:r w:rsidR="007712DD" w:rsidRPr="005C4131">
        <w:rPr>
          <w:rFonts w:asciiTheme="minorHAnsi" w:hAnsiTheme="minorHAnsi"/>
        </w:rPr>
        <w:t>экспертов,</w:t>
      </w:r>
      <w:r w:rsidR="00321E5D" w:rsidRPr="005C4131">
        <w:rPr>
          <w:rFonts w:asciiTheme="minorHAnsi" w:hAnsiTheme="minorHAnsi"/>
        </w:rPr>
        <w:t xml:space="preserve"> </w:t>
      </w:r>
      <w:r w:rsidR="003A1333" w:rsidRPr="005C4131">
        <w:rPr>
          <w:rFonts w:asciiTheme="minorHAnsi" w:hAnsiTheme="minorHAnsi"/>
        </w:rPr>
        <w:t>оно представляет интерес для широкого круга читателей, а в особенности – для тех, кто</w:t>
      </w:r>
      <w:r w:rsidR="003A1333" w:rsidRPr="00F81C55">
        <w:rPr>
          <w:rFonts w:asciiTheme="minorHAnsi" w:hAnsiTheme="minorHAnsi"/>
        </w:rPr>
        <w:t xml:space="preserve"> ценит взвешенное, исторически достоверное и комплексное изложение событий, которые происходили в жизни российского государства и в его экономике на протяжении двух последних веков.</w:t>
      </w:r>
    </w:p>
    <w:p w:rsidR="00611ACB" w:rsidRPr="006C6FAA" w:rsidRDefault="00611ACB" w:rsidP="00682977">
      <w:pPr>
        <w:spacing w:before="240"/>
        <w:jc w:val="both"/>
        <w:rPr>
          <w:rFonts w:asciiTheme="minorHAnsi" w:hAnsiTheme="minorHAnsi"/>
        </w:rPr>
      </w:pPr>
      <w:r w:rsidRPr="006C6FAA">
        <w:rPr>
          <w:rFonts w:asciiTheme="minorHAnsi" w:hAnsiTheme="minorHAnsi"/>
        </w:rPr>
        <w:t xml:space="preserve">За более чем 200 лет своего существования, деятельность Гознака не прерывалась ни на один день. Причем не только в юридическом смысле этого слова, но и в человеческом и технологическом аспектах. Предприятие продолжало работать, пережив две мировые и одну гражданскую войну, великие политические потрясения и перемены экономического уклада. </w:t>
      </w:r>
    </w:p>
    <w:p w:rsidR="00611ACB" w:rsidRPr="006C6FAA" w:rsidRDefault="00611ACB" w:rsidP="00682977">
      <w:pPr>
        <w:pStyle w:val="30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  <w:r w:rsidRPr="006C6FAA">
        <w:rPr>
          <w:rFonts w:asciiTheme="minorHAnsi" w:hAnsiTheme="minorHAnsi"/>
          <w:sz w:val="24"/>
          <w:szCs w:val="24"/>
        </w:rPr>
        <w:t>В силу специфики того, чем занимается Гознак, в истории ком</w:t>
      </w:r>
      <w:bookmarkStart w:id="0" w:name="_GoBack"/>
      <w:bookmarkEnd w:id="0"/>
      <w:r w:rsidRPr="006C6FAA">
        <w:rPr>
          <w:rFonts w:asciiTheme="minorHAnsi" w:hAnsiTheme="minorHAnsi"/>
          <w:sz w:val="24"/>
          <w:szCs w:val="24"/>
        </w:rPr>
        <w:t>пании и в ее продукции нашли свое отражение как история наличного денежного обращения России, так и история графического и медальерного искусства, а также история дизайна государственных символов и знаков. В этой связи при подготовке материалов издания большое внимание уделялось тому, чтобы учесть исторический, политический и экономический контексты, в которых происходили события, которые приведены в книгах.</w:t>
      </w:r>
    </w:p>
    <w:p w:rsidR="006C6FAA" w:rsidRPr="00C17EBE" w:rsidRDefault="00611ACB" w:rsidP="00682977">
      <w:pPr>
        <w:spacing w:before="240"/>
        <w:jc w:val="both"/>
        <w:rPr>
          <w:rFonts w:asciiTheme="minorHAnsi" w:hAnsiTheme="minorHAnsi"/>
          <w:u w:val="single"/>
        </w:rPr>
      </w:pPr>
      <w:r w:rsidRPr="006C6FAA">
        <w:rPr>
          <w:rFonts w:asciiTheme="minorHAnsi" w:hAnsiTheme="minorHAnsi"/>
        </w:rPr>
        <w:t>Структура издания включает в себя три тома. Два из них, которые были презентованы общественности, имеют научный статус и могут использоваться в качестве полноценного и достоверного источника в научных изысканиях.</w:t>
      </w:r>
      <w:r w:rsidR="006C6FAA" w:rsidRPr="006C6FAA">
        <w:rPr>
          <w:rFonts w:asciiTheme="minorHAnsi" w:hAnsiTheme="minorHAnsi"/>
        </w:rPr>
        <w:t xml:space="preserve"> В них в хронологическом порядке изложены ключевые события, даты и судьбы людей, имеющих н</w:t>
      </w:r>
      <w:r w:rsidR="00E2483B">
        <w:rPr>
          <w:rFonts w:asciiTheme="minorHAnsi" w:hAnsiTheme="minorHAnsi"/>
        </w:rPr>
        <w:t xml:space="preserve">епосредственное отношение к </w:t>
      </w:r>
      <w:r w:rsidR="00E2483B">
        <w:rPr>
          <w:rFonts w:asciiTheme="minorHAnsi" w:hAnsiTheme="minorHAnsi"/>
        </w:rPr>
        <w:lastRenderedPageBreak/>
        <w:t>Экспедиции заготовления государственных бумаг</w:t>
      </w:r>
      <w:r w:rsidR="006C6FAA" w:rsidRPr="006C6FAA">
        <w:rPr>
          <w:rFonts w:asciiTheme="minorHAnsi" w:hAnsiTheme="minorHAnsi"/>
        </w:rPr>
        <w:t xml:space="preserve"> и </w:t>
      </w:r>
      <w:r w:rsidR="006C6FAA" w:rsidRPr="00F81C55">
        <w:rPr>
          <w:rFonts w:asciiTheme="minorHAnsi" w:hAnsiTheme="minorHAnsi"/>
        </w:rPr>
        <w:t>Гознаку.</w:t>
      </w:r>
      <w:r w:rsidRPr="00F81C55">
        <w:rPr>
          <w:rFonts w:asciiTheme="minorHAnsi" w:hAnsiTheme="minorHAnsi"/>
        </w:rPr>
        <w:t xml:space="preserve"> </w:t>
      </w:r>
      <w:r w:rsidR="00321E5D" w:rsidRPr="005C4131">
        <w:rPr>
          <w:rFonts w:asciiTheme="minorHAnsi" w:hAnsiTheme="minorHAnsi"/>
        </w:rPr>
        <w:t>Тира</w:t>
      </w:r>
      <w:r w:rsidR="00C17EBE" w:rsidRPr="005C4131">
        <w:rPr>
          <w:rFonts w:asciiTheme="minorHAnsi" w:hAnsiTheme="minorHAnsi"/>
        </w:rPr>
        <w:t>ж каждого тома -3000 экземпляров.</w:t>
      </w:r>
    </w:p>
    <w:p w:rsidR="00BF4399" w:rsidRPr="00EE6105" w:rsidRDefault="00611ACB" w:rsidP="006C6FAA">
      <w:pPr>
        <w:spacing w:before="240"/>
        <w:jc w:val="both"/>
        <w:rPr>
          <w:rFonts w:asciiTheme="minorHAnsi" w:hAnsiTheme="minorHAnsi"/>
        </w:rPr>
      </w:pPr>
      <w:r w:rsidRPr="00F81C55">
        <w:rPr>
          <w:rFonts w:asciiTheme="minorHAnsi" w:hAnsiTheme="minorHAnsi"/>
        </w:rPr>
        <w:t xml:space="preserve">Каждый из двух томов посвящен отдельному столетию в истории </w:t>
      </w:r>
      <w:r w:rsidR="006C6FAA" w:rsidRPr="00F81C55">
        <w:rPr>
          <w:rFonts w:asciiTheme="minorHAnsi" w:hAnsiTheme="minorHAnsi"/>
        </w:rPr>
        <w:t>предприятия</w:t>
      </w:r>
      <w:r w:rsidRPr="00F81C55">
        <w:rPr>
          <w:rFonts w:asciiTheme="minorHAnsi" w:hAnsiTheme="minorHAnsi"/>
        </w:rPr>
        <w:t xml:space="preserve">. </w:t>
      </w:r>
      <w:r w:rsidR="00BF4399" w:rsidRPr="00F81C55">
        <w:rPr>
          <w:rFonts w:asciiTheme="minorHAnsi" w:hAnsiTheme="minorHAnsi"/>
        </w:rPr>
        <w:t xml:space="preserve">Первая </w:t>
      </w:r>
      <w:r w:rsidR="00BF4399" w:rsidRPr="00EE6105">
        <w:rPr>
          <w:rFonts w:asciiTheme="minorHAnsi" w:hAnsiTheme="minorHAnsi"/>
        </w:rPr>
        <w:t>книга – «Гознак. История в событиях, датах, судьбах. 1818-1918» охватывает период деятельности Экспедиции заготовления государственных бумаг. Книга вышла объемом 250 страниц. При ее подготовке было использовано более 440 ссылок на  166 источников</w:t>
      </w:r>
      <w:r w:rsidR="00447F02" w:rsidRPr="00EE6105">
        <w:rPr>
          <w:rFonts w:asciiTheme="minorHAnsi" w:hAnsiTheme="minorHAnsi"/>
        </w:rPr>
        <w:t xml:space="preserve">. На страницах книги размещено </w:t>
      </w:r>
      <w:r w:rsidR="00BF4399" w:rsidRPr="00EE6105">
        <w:rPr>
          <w:rFonts w:asciiTheme="minorHAnsi" w:hAnsiTheme="minorHAnsi"/>
        </w:rPr>
        <w:t>около 830 атрибутированных иллюстраций</w:t>
      </w:r>
      <w:r w:rsidR="00447F02" w:rsidRPr="00EE6105">
        <w:rPr>
          <w:rFonts w:asciiTheme="minorHAnsi" w:hAnsiTheme="minorHAnsi"/>
        </w:rPr>
        <w:t>, в числе которых – изображения монет, банкнот, ценных бумаг и иной значимой продукции, произведенной в стенах предприятия в разное время.</w:t>
      </w:r>
    </w:p>
    <w:p w:rsidR="00BF4399" w:rsidRDefault="00447F02" w:rsidP="00447F02">
      <w:pPr>
        <w:spacing w:before="240"/>
        <w:jc w:val="both"/>
      </w:pPr>
      <w:r w:rsidRPr="00EE6105">
        <w:rPr>
          <w:rFonts w:asciiTheme="minorHAnsi" w:hAnsiTheme="minorHAnsi"/>
        </w:rPr>
        <w:t>В</w:t>
      </w:r>
      <w:r w:rsidR="00611ACB" w:rsidRPr="00EE6105">
        <w:rPr>
          <w:rFonts w:asciiTheme="minorHAnsi" w:hAnsiTheme="minorHAnsi"/>
        </w:rPr>
        <w:t xml:space="preserve">торой том </w:t>
      </w:r>
      <w:r w:rsidRPr="00EE6105">
        <w:rPr>
          <w:rFonts w:asciiTheme="minorHAnsi" w:hAnsiTheme="minorHAnsi"/>
        </w:rPr>
        <w:t xml:space="preserve">под названием «Гознак. История в событиях, датах, судьбах. 1919-2018», </w:t>
      </w:r>
      <w:r w:rsidR="00611ACB" w:rsidRPr="00EE6105">
        <w:rPr>
          <w:rFonts w:asciiTheme="minorHAnsi" w:hAnsiTheme="minorHAnsi"/>
        </w:rPr>
        <w:t xml:space="preserve">посвящен следующему веку в истории </w:t>
      </w:r>
      <w:r w:rsidR="006C6FAA" w:rsidRPr="00EE6105">
        <w:rPr>
          <w:rFonts w:asciiTheme="minorHAnsi" w:hAnsiTheme="minorHAnsi"/>
        </w:rPr>
        <w:t>компании</w:t>
      </w:r>
      <w:r w:rsidR="00611ACB" w:rsidRPr="00EE6105">
        <w:rPr>
          <w:rFonts w:asciiTheme="minorHAnsi" w:hAnsiTheme="minorHAnsi"/>
        </w:rPr>
        <w:t xml:space="preserve"> и охватывает период</w:t>
      </w:r>
      <w:r w:rsidR="006C6FAA" w:rsidRPr="00EE6105">
        <w:rPr>
          <w:rFonts w:asciiTheme="minorHAnsi" w:hAnsiTheme="minorHAnsi"/>
        </w:rPr>
        <w:t>,</w:t>
      </w:r>
      <w:r w:rsidR="00611ACB" w:rsidRPr="00EE6105">
        <w:rPr>
          <w:rFonts w:asciiTheme="minorHAnsi" w:hAnsiTheme="minorHAnsi"/>
        </w:rPr>
        <w:t xml:space="preserve"> начиная </w:t>
      </w:r>
      <w:r w:rsidRPr="00EE6105">
        <w:rPr>
          <w:rFonts w:asciiTheme="minorHAnsi" w:hAnsiTheme="minorHAnsi"/>
        </w:rPr>
        <w:t>того момента</w:t>
      </w:r>
      <w:r w:rsidR="00611ACB" w:rsidRPr="00EE6105">
        <w:rPr>
          <w:rFonts w:asciiTheme="minorHAnsi" w:hAnsiTheme="minorHAnsi"/>
        </w:rPr>
        <w:t xml:space="preserve">, когда на исторической сцене появляется предприятие с названием </w:t>
      </w:r>
      <w:r w:rsidR="00611ACB" w:rsidRPr="00EE6105">
        <w:rPr>
          <w:rFonts w:asciiTheme="minorHAnsi" w:hAnsiTheme="minorHAnsi" w:cs="Cambria Math"/>
        </w:rPr>
        <w:t>«</w:t>
      </w:r>
      <w:r w:rsidR="00611ACB" w:rsidRPr="00EE6105">
        <w:rPr>
          <w:rFonts w:asciiTheme="minorHAnsi" w:hAnsiTheme="minorHAnsi"/>
        </w:rPr>
        <w:t>Гознак</w:t>
      </w:r>
      <w:r w:rsidR="00611ACB" w:rsidRPr="00EE6105">
        <w:rPr>
          <w:rFonts w:asciiTheme="minorHAnsi" w:hAnsiTheme="minorHAnsi" w:cs="Cambria Math"/>
        </w:rPr>
        <w:t>»</w:t>
      </w:r>
      <w:r w:rsidR="00611ACB" w:rsidRPr="00EE6105">
        <w:rPr>
          <w:rFonts w:asciiTheme="minorHAnsi" w:hAnsiTheme="minorHAnsi"/>
        </w:rPr>
        <w:t xml:space="preserve">, продолжающее работать и в наши дни. </w:t>
      </w:r>
      <w:r w:rsidRPr="00EE6105">
        <w:rPr>
          <w:rFonts w:asciiTheme="minorHAnsi" w:hAnsiTheme="minorHAnsi"/>
        </w:rPr>
        <w:t xml:space="preserve">Объем книги </w:t>
      </w:r>
      <w:r w:rsidR="00BF4399" w:rsidRPr="00EE6105">
        <w:rPr>
          <w:rFonts w:asciiTheme="minorHAnsi" w:hAnsiTheme="minorHAnsi"/>
        </w:rPr>
        <w:t xml:space="preserve">- 446 страниц. </w:t>
      </w:r>
      <w:r w:rsidRPr="00EE6105">
        <w:rPr>
          <w:rFonts w:asciiTheme="minorHAnsi" w:hAnsiTheme="minorHAnsi"/>
        </w:rPr>
        <w:t xml:space="preserve">При ее создании было использовано </w:t>
      </w:r>
      <w:r w:rsidR="00BF4399" w:rsidRPr="00EE6105">
        <w:rPr>
          <w:rFonts w:asciiTheme="minorHAnsi" w:hAnsiTheme="minorHAnsi"/>
        </w:rPr>
        <w:t>895 ссылок</w:t>
      </w:r>
      <w:r w:rsidRPr="00EE6105">
        <w:rPr>
          <w:rFonts w:asciiTheme="minorHAnsi" w:hAnsiTheme="minorHAnsi"/>
        </w:rPr>
        <w:t>, ведущих на б</w:t>
      </w:r>
      <w:r w:rsidR="00BF4399" w:rsidRPr="00EE6105">
        <w:rPr>
          <w:rFonts w:asciiTheme="minorHAnsi" w:hAnsiTheme="minorHAnsi"/>
        </w:rPr>
        <w:t xml:space="preserve">олее 350 источников. </w:t>
      </w:r>
      <w:r w:rsidRPr="00EE6105">
        <w:rPr>
          <w:rFonts w:asciiTheme="minorHAnsi" w:hAnsiTheme="minorHAnsi"/>
        </w:rPr>
        <w:t xml:space="preserve">Книга содержит </w:t>
      </w:r>
      <w:r w:rsidR="00BF4399" w:rsidRPr="00EE6105">
        <w:rPr>
          <w:rFonts w:asciiTheme="minorHAnsi" w:hAnsiTheme="minorHAnsi"/>
        </w:rPr>
        <w:t xml:space="preserve">1430 атрибутированных иллюстраций. </w:t>
      </w:r>
    </w:p>
    <w:p w:rsidR="00611ACB" w:rsidRPr="00847427" w:rsidRDefault="00EE6105" w:rsidP="00847427">
      <w:pPr>
        <w:spacing w:before="240"/>
        <w:jc w:val="both"/>
        <w:rPr>
          <w:rFonts w:asciiTheme="minorHAnsi" w:hAnsiTheme="minorHAnsi"/>
        </w:rPr>
      </w:pPr>
      <w:r w:rsidRPr="00847427">
        <w:rPr>
          <w:rFonts w:asciiTheme="minorHAnsi" w:hAnsiTheme="minorHAnsi"/>
        </w:rPr>
        <w:t>В</w:t>
      </w:r>
      <w:r w:rsidR="00611ACB" w:rsidRPr="00847427">
        <w:rPr>
          <w:rFonts w:asciiTheme="minorHAnsi" w:hAnsiTheme="minorHAnsi"/>
        </w:rPr>
        <w:t xml:space="preserve"> </w:t>
      </w:r>
      <w:r w:rsidR="006C6FAA" w:rsidRPr="00847427">
        <w:rPr>
          <w:rFonts w:asciiTheme="minorHAnsi" w:hAnsiTheme="minorHAnsi"/>
        </w:rPr>
        <w:t>п</w:t>
      </w:r>
      <w:r w:rsidR="00611ACB" w:rsidRPr="00847427">
        <w:rPr>
          <w:rFonts w:asciiTheme="minorHAnsi" w:hAnsiTheme="minorHAnsi"/>
        </w:rPr>
        <w:t xml:space="preserve">риложении ко второму тому представлена </w:t>
      </w:r>
      <w:r w:rsidR="00611ACB" w:rsidRPr="00847427">
        <w:rPr>
          <w:rFonts w:asciiTheme="minorHAnsi" w:hAnsiTheme="minorHAnsi" w:cs="Cambria Math"/>
        </w:rPr>
        <w:t>«</w:t>
      </w:r>
      <w:r w:rsidR="00611ACB" w:rsidRPr="00847427">
        <w:rPr>
          <w:rFonts w:asciiTheme="minorHAnsi" w:hAnsiTheme="minorHAnsi"/>
        </w:rPr>
        <w:t>догознаковская</w:t>
      </w:r>
      <w:r w:rsidR="00611ACB" w:rsidRPr="00847427">
        <w:rPr>
          <w:rFonts w:asciiTheme="minorHAnsi" w:hAnsiTheme="minorHAnsi" w:cs="Cambria Math"/>
        </w:rPr>
        <w:t>»</w:t>
      </w:r>
      <w:r w:rsidR="00611ACB" w:rsidRPr="00847427">
        <w:rPr>
          <w:rFonts w:asciiTheme="minorHAnsi" w:hAnsiTheme="minorHAnsi"/>
        </w:rPr>
        <w:t xml:space="preserve"> (с 1724-го по 1941 год) история Санкт-Петербургского (Ленинградского) монетного двора в основных датах и событиях, изложенных также в хронологическом порядке М.И. Смирновым, много лет работавшим архивариусом Санкт-Петербургского монетного двора Гознака.</w:t>
      </w:r>
    </w:p>
    <w:p w:rsidR="006C6FAA" w:rsidRPr="00847427" w:rsidRDefault="006C6FAA" w:rsidP="00847427">
      <w:pPr>
        <w:spacing w:before="240"/>
        <w:jc w:val="both"/>
        <w:rPr>
          <w:rFonts w:asciiTheme="minorHAnsi" w:hAnsiTheme="minorHAnsi"/>
        </w:rPr>
      </w:pPr>
      <w:r w:rsidRPr="00847427">
        <w:rPr>
          <w:rFonts w:asciiTheme="minorHAnsi" w:hAnsiTheme="minorHAnsi"/>
        </w:rPr>
        <w:t>Кроме того, в скором времени будет выпущена</w:t>
      </w:r>
      <w:r w:rsidR="000E238E">
        <w:rPr>
          <w:rFonts w:asciiTheme="minorHAnsi" w:hAnsiTheme="minorHAnsi"/>
        </w:rPr>
        <w:t xml:space="preserve"> </w:t>
      </w:r>
      <w:r w:rsidR="000E238E" w:rsidRPr="005C4131">
        <w:rPr>
          <w:rFonts w:asciiTheme="minorHAnsi" w:hAnsiTheme="minorHAnsi"/>
        </w:rPr>
        <w:t>еще одна</w:t>
      </w:r>
      <w:r w:rsidRPr="005C4131">
        <w:rPr>
          <w:rFonts w:asciiTheme="minorHAnsi" w:hAnsiTheme="minorHAnsi"/>
        </w:rPr>
        <w:t>, третья книга,</w:t>
      </w:r>
      <w:r w:rsidRPr="00847427">
        <w:rPr>
          <w:rFonts w:asciiTheme="minorHAnsi" w:hAnsiTheme="minorHAnsi"/>
        </w:rPr>
        <w:t xml:space="preserve"> в которую будут включены историко-публицистические очерки о людях, сыгравших выдающуюся роль в истории </w:t>
      </w:r>
      <w:r w:rsidRPr="00F81C55">
        <w:rPr>
          <w:rFonts w:asciiTheme="minorHAnsi" w:hAnsiTheme="minorHAnsi"/>
        </w:rPr>
        <w:t xml:space="preserve">Гознака. В ней будет изложена история людей, </w:t>
      </w:r>
      <w:r w:rsidRPr="00847427">
        <w:rPr>
          <w:rFonts w:asciiTheme="minorHAnsi" w:hAnsiTheme="minorHAnsi"/>
        </w:rPr>
        <w:t>своим трудом и талантом обеспечивш</w:t>
      </w:r>
      <w:r w:rsidR="000E238E">
        <w:rPr>
          <w:rFonts w:asciiTheme="minorHAnsi" w:hAnsiTheme="minorHAnsi"/>
        </w:rPr>
        <w:t>их процветание предприятия</w:t>
      </w:r>
      <w:r w:rsidR="000E238E" w:rsidRPr="00972A83">
        <w:rPr>
          <w:rFonts w:asciiTheme="minorHAnsi" w:hAnsiTheme="minorHAnsi"/>
        </w:rPr>
        <w:t>. А</w:t>
      </w:r>
      <w:r w:rsidRPr="00972A83">
        <w:rPr>
          <w:rFonts w:asciiTheme="minorHAnsi" w:hAnsiTheme="minorHAnsi"/>
        </w:rPr>
        <w:t xml:space="preserve"> также</w:t>
      </w:r>
      <w:r w:rsidRPr="00847427">
        <w:rPr>
          <w:rFonts w:asciiTheme="minorHAnsi" w:hAnsiTheme="minorHAnsi"/>
        </w:rPr>
        <w:t xml:space="preserve"> будет рассказано о великих художниках, писателях, государственных деятелях, которые в разные годы сотрудничали с ЭЗГБ и Гознаком.</w:t>
      </w:r>
    </w:p>
    <w:p w:rsidR="00611ACB" w:rsidRPr="00847427" w:rsidRDefault="003A1333" w:rsidP="00847427">
      <w:pPr>
        <w:pStyle w:val="30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  <w:r w:rsidRPr="00847427">
        <w:rPr>
          <w:rFonts w:asciiTheme="minorHAnsi" w:hAnsiTheme="minorHAnsi"/>
          <w:sz w:val="24"/>
          <w:szCs w:val="24"/>
        </w:rPr>
        <w:t>Выпуск</w:t>
      </w:r>
      <w:r w:rsidR="00EE6105" w:rsidRPr="00847427">
        <w:rPr>
          <w:rFonts w:asciiTheme="minorHAnsi" w:hAnsiTheme="minorHAnsi"/>
          <w:sz w:val="24"/>
          <w:szCs w:val="24"/>
        </w:rPr>
        <w:t xml:space="preserve"> издания </w:t>
      </w:r>
      <w:r w:rsidRPr="00847427">
        <w:rPr>
          <w:rFonts w:asciiTheme="minorHAnsi" w:hAnsiTheme="minorHAnsi"/>
          <w:sz w:val="24"/>
          <w:szCs w:val="24"/>
        </w:rPr>
        <w:t xml:space="preserve">«Гознак. История в событиях, датах, судьбах» </w:t>
      </w:r>
      <w:r w:rsidR="00EE6105" w:rsidRPr="00847427">
        <w:rPr>
          <w:rFonts w:asciiTheme="minorHAnsi" w:hAnsiTheme="minorHAnsi"/>
          <w:sz w:val="24"/>
          <w:szCs w:val="24"/>
        </w:rPr>
        <w:t xml:space="preserve">– шаг в сторону возрождения издательской деятельности предприятия. Первые два тома изготавливались на Московской печатной фабрике, однако </w:t>
      </w:r>
      <w:r w:rsidRPr="00847427">
        <w:rPr>
          <w:rFonts w:asciiTheme="minorHAnsi" w:hAnsiTheme="minorHAnsi"/>
          <w:sz w:val="24"/>
          <w:szCs w:val="24"/>
        </w:rPr>
        <w:t>при подготовке и составлении материала пр</w:t>
      </w:r>
      <w:r w:rsidR="0060551F">
        <w:rPr>
          <w:rFonts w:asciiTheme="minorHAnsi" w:hAnsiTheme="minorHAnsi"/>
          <w:sz w:val="24"/>
          <w:szCs w:val="24"/>
        </w:rPr>
        <w:t>инимали участие сотрудники всех предприятий Гознака</w:t>
      </w:r>
      <w:r w:rsidRPr="00847427">
        <w:rPr>
          <w:rFonts w:asciiTheme="minorHAnsi" w:hAnsiTheme="minorHAnsi"/>
          <w:sz w:val="24"/>
          <w:szCs w:val="24"/>
        </w:rPr>
        <w:t>. Каждый из томов открывается двумя страницами</w:t>
      </w:r>
      <w:r w:rsidR="00A41947">
        <w:rPr>
          <w:rFonts w:asciiTheme="minorHAnsi" w:hAnsiTheme="minorHAnsi"/>
          <w:sz w:val="24"/>
          <w:szCs w:val="24"/>
        </w:rPr>
        <w:t>, специально изготовленными на Санк</w:t>
      </w:r>
      <w:r w:rsidR="005E2696">
        <w:rPr>
          <w:rFonts w:asciiTheme="minorHAnsi" w:hAnsiTheme="minorHAnsi"/>
          <w:sz w:val="24"/>
          <w:szCs w:val="24"/>
        </w:rPr>
        <w:t>т</w:t>
      </w:r>
      <w:r w:rsidR="00A41947">
        <w:rPr>
          <w:rFonts w:asciiTheme="minorHAnsi" w:hAnsiTheme="minorHAnsi"/>
          <w:sz w:val="24"/>
          <w:szCs w:val="24"/>
        </w:rPr>
        <w:t>-Петербургской бумажной фабрике: на первой из них</w:t>
      </w:r>
      <w:r w:rsidR="00847427" w:rsidRPr="00847427">
        <w:rPr>
          <w:rFonts w:asciiTheme="minorHAnsi" w:hAnsiTheme="minorHAnsi"/>
          <w:sz w:val="24"/>
          <w:szCs w:val="24"/>
        </w:rPr>
        <w:t xml:space="preserve"> размещены в</w:t>
      </w:r>
      <w:r w:rsidRPr="00847427">
        <w:rPr>
          <w:rFonts w:asciiTheme="minorHAnsi" w:hAnsiTheme="minorHAnsi"/>
          <w:sz w:val="24"/>
          <w:szCs w:val="24"/>
        </w:rPr>
        <w:t>ысокохудожественны</w:t>
      </w:r>
      <w:r w:rsidR="00847427" w:rsidRPr="00847427">
        <w:rPr>
          <w:rFonts w:asciiTheme="minorHAnsi" w:hAnsiTheme="minorHAnsi"/>
          <w:sz w:val="24"/>
          <w:szCs w:val="24"/>
        </w:rPr>
        <w:t>е</w:t>
      </w:r>
      <w:r w:rsidRPr="00847427">
        <w:rPr>
          <w:rFonts w:asciiTheme="minorHAnsi" w:hAnsiTheme="minorHAnsi"/>
          <w:sz w:val="24"/>
          <w:szCs w:val="24"/>
        </w:rPr>
        <w:t xml:space="preserve"> водяны</w:t>
      </w:r>
      <w:r w:rsidR="00847427" w:rsidRPr="00847427">
        <w:rPr>
          <w:rFonts w:asciiTheme="minorHAnsi" w:hAnsiTheme="minorHAnsi"/>
          <w:sz w:val="24"/>
          <w:szCs w:val="24"/>
        </w:rPr>
        <w:t>е</w:t>
      </w:r>
      <w:r w:rsidRPr="00847427">
        <w:rPr>
          <w:rFonts w:asciiTheme="minorHAnsi" w:hAnsiTheme="minorHAnsi"/>
          <w:sz w:val="24"/>
          <w:szCs w:val="24"/>
        </w:rPr>
        <w:t xml:space="preserve"> знаки с филигранью. </w:t>
      </w:r>
      <w:r w:rsidR="00847427" w:rsidRPr="00847427">
        <w:rPr>
          <w:rFonts w:asciiTheme="minorHAnsi" w:hAnsiTheme="minorHAnsi"/>
          <w:sz w:val="24"/>
          <w:szCs w:val="24"/>
        </w:rPr>
        <w:t>На второй – металлографские гравюры с тематическими изображениями, отражающими дух времени, которому посвящена конкретная книга.</w:t>
      </w:r>
    </w:p>
    <w:p w:rsidR="00847427" w:rsidRPr="00847427" w:rsidRDefault="00083E22" w:rsidP="00847427">
      <w:pPr>
        <w:pStyle w:val="30"/>
        <w:spacing w:before="240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Издание отличают </w:t>
      </w:r>
      <w:r w:rsidR="00847427" w:rsidRPr="00847427">
        <w:rPr>
          <w:rFonts w:asciiTheme="minorHAnsi" w:hAnsiTheme="minorHAnsi"/>
          <w:sz w:val="24"/>
          <w:szCs w:val="24"/>
        </w:rPr>
        <w:t>фирменное</w:t>
      </w:r>
      <w:r>
        <w:rPr>
          <w:rFonts w:asciiTheme="minorHAnsi" w:hAnsiTheme="minorHAnsi"/>
          <w:sz w:val="24"/>
          <w:szCs w:val="24"/>
        </w:rPr>
        <w:t xml:space="preserve">, гознаковское </w:t>
      </w:r>
      <w:r w:rsidR="00847427" w:rsidRPr="00847427">
        <w:rPr>
          <w:rFonts w:asciiTheme="minorHAnsi" w:hAnsiTheme="minorHAnsi"/>
          <w:sz w:val="24"/>
          <w:szCs w:val="24"/>
        </w:rPr>
        <w:t>качество полиграфическо</w:t>
      </w:r>
      <w:r w:rsidR="00847427">
        <w:rPr>
          <w:rFonts w:asciiTheme="minorHAnsi" w:hAnsiTheme="minorHAnsi"/>
          <w:sz w:val="24"/>
          <w:szCs w:val="24"/>
        </w:rPr>
        <w:t>го</w:t>
      </w:r>
      <w:r w:rsidR="00847427" w:rsidRPr="00847427">
        <w:rPr>
          <w:rFonts w:asciiTheme="minorHAnsi" w:hAnsiTheme="minorHAnsi"/>
          <w:sz w:val="24"/>
          <w:szCs w:val="24"/>
        </w:rPr>
        <w:t xml:space="preserve"> исполнени</w:t>
      </w:r>
      <w:r w:rsidR="00847427">
        <w:rPr>
          <w:rFonts w:asciiTheme="minorHAnsi" w:hAnsiTheme="minorHAnsi"/>
          <w:sz w:val="24"/>
          <w:szCs w:val="24"/>
        </w:rPr>
        <w:t>я</w:t>
      </w:r>
      <w:r w:rsidR="00847427" w:rsidRPr="00847427">
        <w:rPr>
          <w:rFonts w:asciiTheme="minorHAnsi" w:hAnsiTheme="minorHAnsi"/>
          <w:sz w:val="24"/>
          <w:szCs w:val="24"/>
        </w:rPr>
        <w:t xml:space="preserve">, а также - подбор иллюстраций, многие из которых найдены в фонде хранения предприятия и ранее не публиковались. </w:t>
      </w: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682977" w:rsidRDefault="0068297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</w:p>
    <w:p w:rsidR="00847427" w:rsidRPr="007712DD" w:rsidRDefault="00847427" w:rsidP="00611ACB">
      <w:pPr>
        <w:pStyle w:val="30"/>
        <w:ind w:left="0"/>
        <w:jc w:val="both"/>
        <w:rPr>
          <w:rFonts w:asciiTheme="minorHAnsi" w:hAnsiTheme="minorHAnsi"/>
          <w:sz w:val="24"/>
          <w:szCs w:val="24"/>
        </w:rPr>
      </w:pPr>
      <w:r w:rsidRPr="00682977">
        <w:rPr>
          <w:rFonts w:asciiTheme="minorHAnsi" w:hAnsiTheme="minorHAnsi"/>
          <w:sz w:val="24"/>
          <w:szCs w:val="24"/>
        </w:rPr>
        <w:t xml:space="preserve">Приобрести научное издание «Гознак. История в событиях, датах, судьбах» можно будет, начиная с 11 января 2020 года. </w:t>
      </w:r>
      <w:r w:rsidR="00682977" w:rsidRPr="00682977">
        <w:rPr>
          <w:rFonts w:asciiTheme="minorHAnsi" w:hAnsiTheme="minorHAnsi"/>
          <w:sz w:val="24"/>
          <w:szCs w:val="24"/>
        </w:rPr>
        <w:t>Тогда же будет объявлена его цена</w:t>
      </w:r>
      <w:r w:rsidR="00682977" w:rsidRPr="007712DD">
        <w:rPr>
          <w:rFonts w:asciiTheme="minorHAnsi" w:hAnsiTheme="minorHAnsi"/>
          <w:sz w:val="24"/>
          <w:szCs w:val="24"/>
        </w:rPr>
        <w:t xml:space="preserve">. </w:t>
      </w:r>
    </w:p>
    <w:p w:rsidR="00847427" w:rsidRPr="00F81C55" w:rsidRDefault="00682977" w:rsidP="00847427">
      <w:pPr>
        <w:rPr>
          <w:rFonts w:asciiTheme="minorHAnsi" w:hAnsiTheme="minorHAnsi"/>
        </w:rPr>
      </w:pPr>
      <w:r w:rsidRPr="00F81C55">
        <w:rPr>
          <w:rFonts w:asciiTheme="minorHAnsi" w:hAnsiTheme="minorHAnsi"/>
        </w:rPr>
        <w:t xml:space="preserve">Начиная со дня презентации, </w:t>
      </w:r>
      <w:r w:rsidR="00847427" w:rsidRPr="00F81C55">
        <w:rPr>
          <w:rFonts w:asciiTheme="minorHAnsi" w:hAnsiTheme="minorHAnsi"/>
        </w:rPr>
        <w:t>10</w:t>
      </w:r>
      <w:r w:rsidRPr="00F81C55">
        <w:rPr>
          <w:rFonts w:asciiTheme="minorHAnsi" w:hAnsiTheme="minorHAnsi"/>
        </w:rPr>
        <w:t xml:space="preserve"> декабря </w:t>
      </w:r>
      <w:r w:rsidR="00847427" w:rsidRPr="00F81C55">
        <w:rPr>
          <w:rFonts w:asciiTheme="minorHAnsi" w:hAnsiTheme="minorHAnsi"/>
        </w:rPr>
        <w:t>2020</w:t>
      </w:r>
      <w:r w:rsidRPr="00F81C55">
        <w:rPr>
          <w:rFonts w:asciiTheme="minorHAnsi" w:hAnsiTheme="minorHAnsi"/>
        </w:rPr>
        <w:t xml:space="preserve"> года, все желающие могут оформить предзаказ издания, оставив заявку</w:t>
      </w:r>
      <w:r w:rsidR="00847427" w:rsidRPr="00F81C55">
        <w:rPr>
          <w:rFonts w:asciiTheme="minorHAnsi" w:hAnsiTheme="minorHAnsi"/>
        </w:rPr>
        <w:t xml:space="preserve"> на сайте Торгового салона Московского монетного двора – филиала АО «Гознак» </w:t>
      </w:r>
      <w:hyperlink r:id="rId8" w:history="1">
        <w:r w:rsidRPr="00F81C55">
          <w:rPr>
            <w:rStyle w:val="a6"/>
            <w:rFonts w:asciiTheme="minorHAnsi" w:hAnsiTheme="minorHAnsi"/>
            <w:b/>
            <w:lang w:val="en-US"/>
          </w:rPr>
          <w:t>https</w:t>
        </w:r>
        <w:r w:rsidRPr="00F81C55">
          <w:rPr>
            <w:rStyle w:val="a6"/>
            <w:rFonts w:asciiTheme="minorHAnsi" w:hAnsiTheme="minorHAnsi"/>
            <w:b/>
          </w:rPr>
          <w:t>://</w:t>
        </w:r>
        <w:r w:rsidRPr="00F81C55">
          <w:rPr>
            <w:rStyle w:val="a6"/>
            <w:rFonts w:asciiTheme="minorHAnsi" w:hAnsiTheme="minorHAnsi"/>
            <w:b/>
            <w:lang w:val="en-US"/>
          </w:rPr>
          <w:t>mmint</w:t>
        </w:r>
        <w:r w:rsidRPr="00F81C55">
          <w:rPr>
            <w:rStyle w:val="a6"/>
            <w:rFonts w:asciiTheme="minorHAnsi" w:hAnsiTheme="minorHAnsi"/>
            <w:b/>
          </w:rPr>
          <w:t>.</w:t>
        </w:r>
        <w:r w:rsidRPr="00F81C55">
          <w:rPr>
            <w:rStyle w:val="a6"/>
            <w:rFonts w:asciiTheme="minorHAnsi" w:hAnsiTheme="minorHAnsi"/>
            <w:b/>
            <w:lang w:val="en-US"/>
          </w:rPr>
          <w:t>ru</w:t>
        </w:r>
      </w:hyperlink>
      <w:r w:rsidRPr="00F81C55">
        <w:rPr>
          <w:rFonts w:asciiTheme="minorHAnsi" w:hAnsiTheme="minorHAnsi"/>
          <w:b/>
        </w:rPr>
        <w:t xml:space="preserve"> </w:t>
      </w:r>
      <w:r w:rsidR="00847427" w:rsidRPr="00F81C55">
        <w:rPr>
          <w:rFonts w:asciiTheme="minorHAnsi" w:hAnsiTheme="minorHAnsi"/>
        </w:rPr>
        <w:t xml:space="preserve">или по телефону </w:t>
      </w:r>
      <w:r w:rsidR="00847427" w:rsidRPr="00F81C55">
        <w:rPr>
          <w:rFonts w:asciiTheme="minorHAnsi" w:hAnsiTheme="minorHAnsi"/>
          <w:b/>
        </w:rPr>
        <w:t>+7 (495) 729-56-66 (доб. 54-63)</w:t>
      </w:r>
      <w:r w:rsidR="00847427" w:rsidRPr="00F81C55">
        <w:rPr>
          <w:rFonts w:asciiTheme="minorHAnsi" w:hAnsiTheme="minorHAnsi"/>
        </w:rPr>
        <w:t>.</w:t>
      </w:r>
    </w:p>
    <w:p w:rsidR="00682977" w:rsidRPr="00F81C55" w:rsidRDefault="00682977" w:rsidP="00847427">
      <w:pPr>
        <w:rPr>
          <w:rFonts w:asciiTheme="minorHAnsi" w:hAnsiTheme="minorHAnsi"/>
        </w:rPr>
      </w:pPr>
    </w:p>
    <w:p w:rsidR="00847427" w:rsidRPr="00F81C55" w:rsidRDefault="00847427" w:rsidP="00847427">
      <w:pPr>
        <w:rPr>
          <w:rFonts w:asciiTheme="minorHAnsi" w:hAnsiTheme="minorHAnsi"/>
        </w:rPr>
      </w:pPr>
      <w:r w:rsidRPr="00F81C55">
        <w:rPr>
          <w:rFonts w:asciiTheme="minorHAnsi" w:hAnsiTheme="minorHAnsi"/>
        </w:rPr>
        <w:t>Реализация книги будет осуществляться в:</w:t>
      </w:r>
    </w:p>
    <w:p w:rsidR="00682977" w:rsidRPr="00F81C55" w:rsidRDefault="00847427" w:rsidP="00847427">
      <w:pPr>
        <w:pStyle w:val="ab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81C55">
        <w:rPr>
          <w:rFonts w:asciiTheme="minorHAnsi" w:hAnsiTheme="minorHAnsi"/>
          <w:b/>
          <w:sz w:val="24"/>
          <w:szCs w:val="24"/>
        </w:rPr>
        <w:t>Торговом салоне Московского монетного двора – филиала АО «Гознак»</w:t>
      </w:r>
      <w:r w:rsidRPr="00F81C55">
        <w:rPr>
          <w:rFonts w:asciiTheme="minorHAnsi" w:hAnsiTheme="minorHAnsi"/>
          <w:sz w:val="24"/>
          <w:szCs w:val="24"/>
        </w:rPr>
        <w:t xml:space="preserve">. </w:t>
      </w:r>
    </w:p>
    <w:p w:rsidR="00847427" w:rsidRPr="00F81C55" w:rsidRDefault="00847427" w:rsidP="00682977">
      <w:pPr>
        <w:pStyle w:val="ab"/>
        <w:rPr>
          <w:rFonts w:asciiTheme="minorHAnsi" w:hAnsiTheme="minorHAnsi"/>
          <w:sz w:val="24"/>
          <w:szCs w:val="24"/>
        </w:rPr>
      </w:pPr>
      <w:r w:rsidRPr="00F81C55">
        <w:rPr>
          <w:rFonts w:asciiTheme="minorHAnsi" w:hAnsiTheme="minorHAnsi"/>
          <w:sz w:val="24"/>
          <w:szCs w:val="24"/>
        </w:rPr>
        <w:t>Адрес: г. Москва, Даниловский вал, дом 1.</w:t>
      </w:r>
      <w:r w:rsidR="00682977" w:rsidRPr="00F81C55">
        <w:rPr>
          <w:rFonts w:asciiTheme="minorHAnsi" w:hAnsiTheme="minorHAnsi"/>
          <w:sz w:val="24"/>
          <w:szCs w:val="24"/>
        </w:rPr>
        <w:t xml:space="preserve"> (возможна доставка в любую точку мира)</w:t>
      </w:r>
    </w:p>
    <w:p w:rsidR="00847427" w:rsidRPr="00F81C55" w:rsidRDefault="00847427" w:rsidP="00847427">
      <w:pPr>
        <w:pStyle w:val="ab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81C55">
        <w:rPr>
          <w:rFonts w:asciiTheme="minorHAnsi" w:hAnsiTheme="minorHAnsi"/>
          <w:b/>
          <w:sz w:val="24"/>
          <w:szCs w:val="24"/>
        </w:rPr>
        <w:t>Нумизматическом салоне Санкт-Петербургского монетного двора – филиала АО «Гознак»</w:t>
      </w:r>
      <w:r w:rsidRPr="00F81C55">
        <w:rPr>
          <w:rFonts w:asciiTheme="minorHAnsi" w:hAnsiTheme="minorHAnsi"/>
          <w:sz w:val="24"/>
          <w:szCs w:val="24"/>
        </w:rPr>
        <w:t>. Адрес: г. Санкт-Петербург, Петропавловская крепость, Никольская куртина.</w:t>
      </w:r>
    </w:p>
    <w:p w:rsidR="00847427" w:rsidRPr="00F81C55" w:rsidRDefault="00847427" w:rsidP="00847427">
      <w:pPr>
        <w:pStyle w:val="ab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81C55">
        <w:rPr>
          <w:rFonts w:asciiTheme="minorHAnsi" w:hAnsiTheme="minorHAnsi"/>
          <w:b/>
          <w:sz w:val="24"/>
          <w:szCs w:val="24"/>
        </w:rPr>
        <w:t>Музейной лавке Музея истории денег АО «Гознак»</w:t>
      </w:r>
      <w:r w:rsidRPr="00F81C55">
        <w:rPr>
          <w:rFonts w:asciiTheme="minorHAnsi" w:hAnsiTheme="minorHAnsi"/>
          <w:sz w:val="24"/>
          <w:szCs w:val="24"/>
        </w:rPr>
        <w:t xml:space="preserve">. </w:t>
      </w:r>
      <w:r w:rsidRPr="00F81C55">
        <w:rPr>
          <w:rFonts w:asciiTheme="minorHAnsi" w:hAnsiTheme="minorHAnsi"/>
          <w:sz w:val="24"/>
          <w:szCs w:val="24"/>
        </w:rPr>
        <w:br/>
        <w:t>Адрес: г. Санкт-Петербург, Петропавловская крепость, Аннинский кавальер.</w:t>
      </w:r>
    </w:p>
    <w:p w:rsidR="008713D8" w:rsidRPr="00682977" w:rsidRDefault="00682977" w:rsidP="008713D8">
      <w:pPr>
        <w:rPr>
          <w:rFonts w:asciiTheme="minorHAnsi" w:hAnsiTheme="minorHAnsi"/>
        </w:rPr>
      </w:pPr>
      <w:r w:rsidRPr="00F81C55">
        <w:rPr>
          <w:rFonts w:asciiTheme="minorHAnsi" w:hAnsiTheme="minorHAnsi"/>
        </w:rPr>
        <w:t>Оформить предзаказ издания</w:t>
      </w:r>
      <w:r w:rsidRPr="00682977">
        <w:rPr>
          <w:rFonts w:asciiTheme="minorHAnsi" w:hAnsiTheme="minorHAnsi"/>
        </w:rPr>
        <w:t xml:space="preserve"> можно также </w:t>
      </w:r>
      <w:r w:rsidR="008713D8" w:rsidRPr="00682977">
        <w:rPr>
          <w:rFonts w:asciiTheme="minorHAnsi" w:hAnsiTheme="minorHAnsi"/>
        </w:rPr>
        <w:t>ссылке:</w:t>
      </w:r>
    </w:p>
    <w:p w:rsidR="008713D8" w:rsidRPr="008D73A0" w:rsidRDefault="008713D8" w:rsidP="008713D8">
      <w:pPr>
        <w:rPr>
          <w:rFonts w:asciiTheme="minorHAnsi" w:hAnsiTheme="minorHAnsi"/>
          <w:sz w:val="22"/>
          <w:szCs w:val="22"/>
        </w:rPr>
      </w:pPr>
      <w:r w:rsidRPr="008D73A0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019300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34" w:rsidRPr="008D73A0" w:rsidRDefault="00932434" w:rsidP="007B4513">
      <w:pPr>
        <w:pStyle w:val="a7"/>
        <w:jc w:val="both"/>
        <w:rPr>
          <w:rStyle w:val="a8"/>
          <w:rFonts w:asciiTheme="minorHAnsi" w:hAnsiTheme="minorHAnsi"/>
          <w:b w:val="0"/>
        </w:rPr>
      </w:pPr>
    </w:p>
    <w:p w:rsidR="00FA4DA9" w:rsidRPr="00682977" w:rsidRDefault="00FA4DA9" w:rsidP="00FA4DA9">
      <w:pPr>
        <w:jc w:val="right"/>
        <w:rPr>
          <w:rFonts w:asciiTheme="minorHAnsi" w:hAnsiTheme="minorHAnsi"/>
          <w:b/>
        </w:rPr>
      </w:pPr>
      <w:r w:rsidRPr="00682977">
        <w:rPr>
          <w:rFonts w:asciiTheme="minorHAnsi" w:hAnsiTheme="minorHAnsi"/>
          <w:b/>
        </w:rPr>
        <w:t>Телефоны Пресс-службы АО «Гознак»:</w:t>
      </w:r>
    </w:p>
    <w:p w:rsidR="00FA4DA9" w:rsidRPr="008D73A0" w:rsidRDefault="00FA4DA9" w:rsidP="00FA4DA9">
      <w:pPr>
        <w:jc w:val="right"/>
        <w:rPr>
          <w:rFonts w:asciiTheme="minorHAnsi" w:hAnsiTheme="minorHAnsi"/>
        </w:rPr>
      </w:pPr>
    </w:p>
    <w:p w:rsidR="00FA4DA9" w:rsidRPr="008D73A0" w:rsidRDefault="00FA4DA9" w:rsidP="00FA4DA9">
      <w:pPr>
        <w:jc w:val="right"/>
        <w:rPr>
          <w:rFonts w:asciiTheme="minorHAnsi" w:hAnsiTheme="minorHAnsi"/>
        </w:rPr>
      </w:pPr>
      <w:r w:rsidRPr="008D73A0">
        <w:rPr>
          <w:rFonts w:asciiTheme="minorHAnsi" w:hAnsiTheme="minorHAnsi"/>
        </w:rPr>
        <w:t>8-495-781-56-07, доб. 1113, 1574, 1202</w:t>
      </w:r>
    </w:p>
    <w:p w:rsidR="00FA4DA9" w:rsidRPr="008D73A0" w:rsidRDefault="00FA4DA9" w:rsidP="00FA4DA9">
      <w:pPr>
        <w:jc w:val="both"/>
        <w:rPr>
          <w:rFonts w:asciiTheme="minorHAnsi" w:hAnsiTheme="minorHAnsi"/>
        </w:rPr>
      </w:pPr>
    </w:p>
    <w:p w:rsidR="00B4344F" w:rsidRPr="008D73A0" w:rsidRDefault="00B4344F" w:rsidP="007B4513">
      <w:pPr>
        <w:spacing w:after="240"/>
        <w:jc w:val="both"/>
        <w:rPr>
          <w:rFonts w:asciiTheme="minorHAnsi" w:hAnsiTheme="minorHAnsi"/>
        </w:rPr>
      </w:pPr>
    </w:p>
    <w:sectPr w:rsidR="00B4344F" w:rsidRPr="008D73A0">
      <w:footerReference w:type="default" r:id="rId10"/>
      <w:pgSz w:w="11906" w:h="16838"/>
      <w:pgMar w:top="567" w:right="110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47" w:rsidRDefault="00022F47" w:rsidP="00FA4DA9">
      <w:r>
        <w:separator/>
      </w:r>
    </w:p>
  </w:endnote>
  <w:endnote w:type="continuationSeparator" w:id="0">
    <w:p w:rsidR="00022F47" w:rsidRDefault="00022F47" w:rsidP="00FA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204164"/>
      <w:docPartObj>
        <w:docPartGallery w:val="Page Numbers (Bottom of Page)"/>
        <w:docPartUnique/>
      </w:docPartObj>
    </w:sdtPr>
    <w:sdtEndPr/>
    <w:sdtContent>
      <w:p w:rsidR="00FA4DA9" w:rsidRDefault="00EC17BB">
        <w:pPr>
          <w:pStyle w:val="a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17BB" w:rsidRDefault="00EC17B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C4131" w:rsidRPr="005C413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EC17BB" w:rsidRDefault="00EC17B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C4131" w:rsidRPr="005C413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47" w:rsidRDefault="00022F47" w:rsidP="00FA4DA9">
      <w:r>
        <w:separator/>
      </w:r>
    </w:p>
  </w:footnote>
  <w:footnote w:type="continuationSeparator" w:id="0">
    <w:p w:rsidR="00022F47" w:rsidRDefault="00022F47" w:rsidP="00FA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A27FF"/>
    <w:multiLevelType w:val="hybridMultilevel"/>
    <w:tmpl w:val="301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3ACA"/>
    <w:multiLevelType w:val="hybridMultilevel"/>
    <w:tmpl w:val="4614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F0C2F"/>
    <w:multiLevelType w:val="hybridMultilevel"/>
    <w:tmpl w:val="3888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6C"/>
    <w:rsid w:val="00021358"/>
    <w:rsid w:val="00022F47"/>
    <w:rsid w:val="00057D55"/>
    <w:rsid w:val="00077D65"/>
    <w:rsid w:val="00083E22"/>
    <w:rsid w:val="00096C1B"/>
    <w:rsid w:val="000E238E"/>
    <w:rsid w:val="0015097A"/>
    <w:rsid w:val="00152306"/>
    <w:rsid w:val="00162DA0"/>
    <w:rsid w:val="001F027B"/>
    <w:rsid w:val="00201DAE"/>
    <w:rsid w:val="002641FF"/>
    <w:rsid w:val="00270ABA"/>
    <w:rsid w:val="00295396"/>
    <w:rsid w:val="002D41D1"/>
    <w:rsid w:val="00321E5D"/>
    <w:rsid w:val="003A1333"/>
    <w:rsid w:val="003F3BDA"/>
    <w:rsid w:val="00402D66"/>
    <w:rsid w:val="00447F02"/>
    <w:rsid w:val="00490F11"/>
    <w:rsid w:val="004C1544"/>
    <w:rsid w:val="005C4131"/>
    <w:rsid w:val="005E2696"/>
    <w:rsid w:val="0060551F"/>
    <w:rsid w:val="00611ACB"/>
    <w:rsid w:val="00662BF6"/>
    <w:rsid w:val="00682977"/>
    <w:rsid w:val="006835B8"/>
    <w:rsid w:val="006C6FAA"/>
    <w:rsid w:val="00744506"/>
    <w:rsid w:val="007712DD"/>
    <w:rsid w:val="007B4217"/>
    <w:rsid w:val="007B4513"/>
    <w:rsid w:val="007E6795"/>
    <w:rsid w:val="00847427"/>
    <w:rsid w:val="008713D8"/>
    <w:rsid w:val="008B1ECD"/>
    <w:rsid w:val="008D73A0"/>
    <w:rsid w:val="008E6EA2"/>
    <w:rsid w:val="00932434"/>
    <w:rsid w:val="009644BD"/>
    <w:rsid w:val="00972A83"/>
    <w:rsid w:val="00A41947"/>
    <w:rsid w:val="00AA0656"/>
    <w:rsid w:val="00AB4538"/>
    <w:rsid w:val="00AE78A8"/>
    <w:rsid w:val="00B36709"/>
    <w:rsid w:val="00B4344F"/>
    <w:rsid w:val="00B52B44"/>
    <w:rsid w:val="00BE5F6C"/>
    <w:rsid w:val="00BF4399"/>
    <w:rsid w:val="00C10995"/>
    <w:rsid w:val="00C17EBE"/>
    <w:rsid w:val="00C86D30"/>
    <w:rsid w:val="00CD77F0"/>
    <w:rsid w:val="00D4371B"/>
    <w:rsid w:val="00D64E8B"/>
    <w:rsid w:val="00DC4DE3"/>
    <w:rsid w:val="00DD556C"/>
    <w:rsid w:val="00E2483B"/>
    <w:rsid w:val="00E63FF2"/>
    <w:rsid w:val="00EC17BB"/>
    <w:rsid w:val="00EE6105"/>
    <w:rsid w:val="00F61980"/>
    <w:rsid w:val="00F81C55"/>
    <w:rsid w:val="00FA4DA9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38E56-B0AB-49F4-B018-F85A321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eastAsia="Batang" w:hAnsi="Bookman Old Style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" w:hAnsi="Century"/>
      <w:b/>
      <w:bCs/>
      <w:kern w:val="48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4">
    <w:name w:val="Body Text Indent"/>
    <w:basedOn w:val="a"/>
    <w:pPr>
      <w:tabs>
        <w:tab w:val="right" w:pos="9638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20">
    <w:name w:val="Body Text Indent 2"/>
    <w:basedOn w:val="a"/>
    <w:pPr>
      <w:spacing w:line="400" w:lineRule="atLeast"/>
      <w:ind w:firstLine="993"/>
    </w:pPr>
    <w:rPr>
      <w:sz w:val="28"/>
    </w:rPr>
  </w:style>
  <w:style w:type="paragraph" w:styleId="a5">
    <w:name w:val="Balloon Text"/>
    <w:basedOn w:val="a"/>
    <w:semiHidden/>
    <w:rsid w:val="00AA0656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01DAE"/>
    <w:rPr>
      <w:color w:val="0000FF"/>
      <w:u w:val="single"/>
    </w:rPr>
  </w:style>
  <w:style w:type="paragraph" w:styleId="a7">
    <w:name w:val="Normal (Web)"/>
    <w:basedOn w:val="a"/>
    <w:rsid w:val="00932434"/>
    <w:pPr>
      <w:spacing w:before="70" w:after="70"/>
    </w:pPr>
  </w:style>
  <w:style w:type="character" w:styleId="a8">
    <w:name w:val="Strong"/>
    <w:basedOn w:val="a0"/>
    <w:qFormat/>
    <w:rsid w:val="00932434"/>
    <w:rPr>
      <w:b/>
      <w:bCs/>
    </w:rPr>
  </w:style>
  <w:style w:type="paragraph" w:styleId="30">
    <w:name w:val="Body Text Indent 3"/>
    <w:basedOn w:val="a"/>
    <w:link w:val="31"/>
    <w:semiHidden/>
    <w:unhideWhenUsed/>
    <w:rsid w:val="007B45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B4513"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A4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4DA9"/>
    <w:rPr>
      <w:sz w:val="24"/>
      <w:szCs w:val="24"/>
    </w:rPr>
  </w:style>
  <w:style w:type="paragraph" w:styleId="ab">
    <w:name w:val="List Paragraph"/>
    <w:basedOn w:val="a"/>
    <w:uiPriority w:val="34"/>
    <w:qFormat/>
    <w:rsid w:val="00847427"/>
    <w:pPr>
      <w:spacing w:after="160" w:line="256" w:lineRule="auto"/>
      <w:ind w:left="720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61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376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dashed" w:sz="4" w:space="10" w:color="476647"/>
                <w:right w:val="none" w:sz="0" w:space="0" w:color="auto"/>
              </w:divBdr>
            </w:div>
          </w:divsChild>
        </w:div>
      </w:divsChild>
    </w:div>
    <w:div w:id="1056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i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Гознак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Гундаров Николай Владимирович</dc:creator>
  <cp:lastModifiedBy>Глеб Руденко</cp:lastModifiedBy>
  <cp:revision>6</cp:revision>
  <cp:lastPrinted>2020-12-08T13:25:00Z</cp:lastPrinted>
  <dcterms:created xsi:type="dcterms:W3CDTF">2020-12-09T13:42:00Z</dcterms:created>
  <dcterms:modified xsi:type="dcterms:W3CDTF">2020-12-11T17:37:00Z</dcterms:modified>
</cp:coreProperties>
</file>